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
          <w:sz w:val="28"/>
          <w:szCs w:val="28"/>
        </w:rPr>
      </w:pPr>
      <w:r>
        <w:rPr>
          <w:b/>
          <w:sz w:val="28"/>
          <w:szCs w:val="28"/>
        </w:rPr>
        <w:t>Technická zpráva PD stavby</w:t>
      </w:r>
    </w:p>
    <w:p>
      <w:pPr>
        <w:pStyle w:val="Normal"/>
        <w:jc w:val="center"/>
        <w:rPr>
          <w:b/>
          <w:b/>
          <w:sz w:val="28"/>
          <w:szCs w:val="28"/>
        </w:rPr>
      </w:pPr>
      <w:r>
        <w:rPr>
          <w:b/>
          <w:sz w:val="28"/>
          <w:szCs w:val="28"/>
        </w:rPr>
        <w:t>Vynětí ze ZPF</w:t>
      </w:r>
    </w:p>
    <w:p>
      <w:pPr>
        <w:pStyle w:val="Normal"/>
        <w:jc w:val="both"/>
        <w:rPr/>
      </w:pPr>
      <w:r>
        <w:rPr>
          <w:b/>
          <w:sz w:val="28"/>
          <w:szCs w:val="28"/>
        </w:rPr>
        <w:t>Stavba:</w:t>
        <w:tab/>
        <w:t>Přístavba hasičské zbrojnice a zpevněné plochy na pozemcích pozemková parcela č. 291/1, 27</w:t>
      </w:r>
      <w:r>
        <w:rPr>
          <w:b/>
          <w:sz w:val="28"/>
          <w:szCs w:val="28"/>
        </w:rPr>
        <w:t>8</w:t>
      </w:r>
      <w:r>
        <w:rPr>
          <w:b/>
          <w:sz w:val="28"/>
          <w:szCs w:val="28"/>
        </w:rPr>
        <w:t>/2, 278/31 k.ú. Bernartice u Milevska, obec Bernartice</w:t>
      </w:r>
    </w:p>
    <w:p>
      <w:pPr>
        <w:pStyle w:val="Normal"/>
        <w:jc w:val="both"/>
        <w:rPr/>
      </w:pPr>
      <w:r>
        <w:rPr>
          <w:b/>
          <w:sz w:val="28"/>
          <w:szCs w:val="28"/>
        </w:rPr>
        <w:t xml:space="preserve">Investor:  </w:t>
        <w:tab/>
        <w:t>Městys Bernartice, Náměstí svobody čp.33, Bernartice</w:t>
      </w:r>
    </w:p>
    <w:p>
      <w:pPr>
        <w:pStyle w:val="Normal"/>
        <w:jc w:val="center"/>
        <w:rPr>
          <w:sz w:val="28"/>
          <w:szCs w:val="28"/>
        </w:rPr>
      </w:pPr>
      <w:r>
        <w:rPr>
          <w:sz w:val="28"/>
          <w:szCs w:val="28"/>
        </w:rPr>
        <w:t>Popis:</w:t>
      </w:r>
    </w:p>
    <w:p>
      <w:pPr>
        <w:pStyle w:val="Normal"/>
        <w:jc w:val="both"/>
        <w:rPr>
          <w:sz w:val="24"/>
          <w:szCs w:val="24"/>
        </w:rPr>
      </w:pPr>
      <w:r>
        <w:rPr>
          <w:sz w:val="24"/>
          <w:szCs w:val="24"/>
        </w:rPr>
        <w:t xml:space="preserve">V rámci nutnosti vynětí zastavěných částí dotčených zemědělských pozemků je vypracován tento dodatek, jakožto nedílná součást projektové dokumentace stavby. 1.4.2015 nabyla účinnosti novela zákona č. 334/1992 Sb., o ochraně zemědělského půdního fondu, kdy tyto změny je nutné promítnout do PD stavby.  </w:t>
      </w:r>
    </w:p>
    <w:p>
      <w:pPr>
        <w:pStyle w:val="ListParagraph"/>
        <w:numPr>
          <w:ilvl w:val="0"/>
          <w:numId w:val="1"/>
        </w:numPr>
        <w:jc w:val="both"/>
        <w:rPr/>
      </w:pPr>
      <w:r>
        <w:rPr/>
      </w:r>
    </w:p>
    <w:p>
      <w:pPr>
        <w:pStyle w:val="ListParagraph"/>
        <w:numPr>
          <w:ilvl w:val="0"/>
          <w:numId w:val="1"/>
        </w:numPr>
        <w:jc w:val="both"/>
        <w:rPr/>
      </w:pPr>
      <w:r>
        <w:rPr>
          <w:sz w:val="24"/>
          <w:szCs w:val="24"/>
          <w:u w:val="single"/>
        </w:rPr>
        <w:t>Zákres navrhovaného odnětí do katastrální mapy</w:t>
      </w:r>
      <w:r>
        <w:rPr>
          <w:sz w:val="24"/>
          <w:szCs w:val="24"/>
        </w:rPr>
        <w:t xml:space="preserve"> – v rámci PD stavby byla provedena situace s umístěním stavby, kdy zde jsou patrné rozsahy a zábory ZPF včetně nově zastavěných ploch. V daném případě se jedná o stavbu – </w:t>
      </w:r>
      <w:r>
        <w:rPr>
          <w:rFonts w:cs="Times New Roman" w:ascii="Times New Roman" w:hAnsi="Times New Roman"/>
          <w:sz w:val="24"/>
          <w:szCs w:val="24"/>
        </w:rPr>
        <w:t>Přístavba hasičské zbrojnice a zpevněné plochy na pozemcích pozemková parcela č. 291/1, 27</w:t>
      </w:r>
      <w:r>
        <w:rPr>
          <w:rFonts w:cs="Times New Roman" w:ascii="Times New Roman" w:hAnsi="Times New Roman"/>
          <w:sz w:val="24"/>
          <w:szCs w:val="24"/>
        </w:rPr>
        <w:t>8</w:t>
      </w:r>
      <w:r>
        <w:rPr>
          <w:rFonts w:cs="Times New Roman" w:ascii="Times New Roman" w:hAnsi="Times New Roman"/>
          <w:sz w:val="24"/>
          <w:szCs w:val="24"/>
        </w:rPr>
        <w:t>/2, 278/31 k.ú. Bernartice u Milevska, obec Bernartice,</w:t>
      </w:r>
    </w:p>
    <w:p>
      <w:pPr>
        <w:pStyle w:val="ListParagraph"/>
        <w:numPr>
          <w:ilvl w:val="0"/>
          <w:numId w:val="1"/>
        </w:numPr>
        <w:jc w:val="both"/>
        <w:rPr>
          <w:sz w:val="24"/>
          <w:szCs w:val="24"/>
        </w:rPr>
      </w:pPr>
      <w:r>
        <w:rPr>
          <w:sz w:val="24"/>
          <w:szCs w:val="24"/>
          <w:u w:val="single"/>
        </w:rPr>
        <w:t xml:space="preserve">Údaje KN o pozemcích, kterých se stavba týká </w:t>
      </w:r>
      <w:r>
        <w:rPr>
          <w:sz w:val="24"/>
          <w:szCs w:val="24"/>
        </w:rPr>
        <w:t>– součástí PD je dokladová část, kde je informace o dotčených parcelách. V daném případě se jedná o informaci o pozemkové parcele č. 291/1, 27</w:t>
      </w:r>
      <w:r>
        <w:rPr>
          <w:sz w:val="24"/>
          <w:szCs w:val="24"/>
        </w:rPr>
        <w:t>8</w:t>
      </w:r>
      <w:r>
        <w:rPr>
          <w:sz w:val="24"/>
          <w:szCs w:val="24"/>
        </w:rPr>
        <w:t>/2, 278/31 k.ú. Bernartice u Milevska na LV č. 1 u Katastrálního úřadu pro Jihočeský kraj, katastrální pracoviště Písek, kdy pozemky jsou vedeny jako zemědělský pozemek – trvalý travní porost,</w:t>
      </w:r>
    </w:p>
    <w:p>
      <w:pPr>
        <w:pStyle w:val="ListParagraph"/>
        <w:numPr>
          <w:ilvl w:val="0"/>
          <w:numId w:val="1"/>
        </w:numPr>
        <w:jc w:val="both"/>
        <w:rPr>
          <w:sz w:val="24"/>
          <w:szCs w:val="24"/>
        </w:rPr>
      </w:pPr>
      <w:r>
        <w:rPr>
          <w:sz w:val="24"/>
          <w:szCs w:val="24"/>
          <w:u w:val="single"/>
        </w:rPr>
        <w:t xml:space="preserve">výpočet odvodů ze ZPF </w:t>
      </w:r>
      <w:r>
        <w:rPr>
          <w:sz w:val="24"/>
          <w:szCs w:val="24"/>
        </w:rPr>
        <w:t xml:space="preserve">– je zpracován samostatný výpočet p.Pizinger </w:t>
      </w:r>
    </w:p>
    <w:p>
      <w:pPr>
        <w:pStyle w:val="ListParagraph"/>
        <w:numPr>
          <w:ilvl w:val="0"/>
          <w:numId w:val="1"/>
        </w:numPr>
        <w:jc w:val="both"/>
        <w:rPr>
          <w:sz w:val="24"/>
          <w:szCs w:val="24"/>
        </w:rPr>
      </w:pPr>
      <w:r>
        <w:rPr>
          <w:sz w:val="24"/>
          <w:szCs w:val="24"/>
          <w:u w:val="single"/>
        </w:rPr>
        <w:t xml:space="preserve">Plán rekultivace </w:t>
      </w:r>
      <w:r>
        <w:rPr>
          <w:sz w:val="24"/>
          <w:szCs w:val="24"/>
        </w:rPr>
        <w:t xml:space="preserve">– po dokončení stavby bude pozemek trvale zastaven stavbou v rozsahu dle situace a nebude již využíván k zemědělským účelům v těchto zastavěných částech.  </w:t>
      </w:r>
    </w:p>
    <w:p>
      <w:pPr>
        <w:pStyle w:val="ListParagraph"/>
        <w:numPr>
          <w:ilvl w:val="0"/>
          <w:numId w:val="1"/>
        </w:numPr>
        <w:jc w:val="both"/>
        <w:rPr/>
      </w:pPr>
      <w:r>
        <w:rPr>
          <w:sz w:val="24"/>
          <w:szCs w:val="24"/>
          <w:u w:val="single"/>
        </w:rPr>
        <w:t xml:space="preserve">Předběžná bilance skrývky kulturních vrstev půdy </w:t>
      </w:r>
      <w:r>
        <w:rPr>
          <w:sz w:val="24"/>
          <w:szCs w:val="24"/>
        </w:rPr>
        <w:t>– součástí žádosti o vynětí ze ZPF je samostatná příloha „Bilance skrývky ….“, kde je uvedeno, že sejmuté množství ornice v tl. 0,20 m, což činí v daném případě 32,6 m3, bude protokolárně předána příslušnému zemědělskému družstvu k dalšímu zemědělskému využití. Za uvedené bude zodpovídat investor – Městys Bernartice – starosta Pavel Souhrada,</w:t>
      </w:r>
    </w:p>
    <w:p>
      <w:pPr>
        <w:pStyle w:val="ListParagraph"/>
        <w:numPr>
          <w:ilvl w:val="0"/>
          <w:numId w:val="1"/>
        </w:numPr>
        <w:jc w:val="both"/>
        <w:rPr>
          <w:sz w:val="24"/>
          <w:szCs w:val="24"/>
        </w:rPr>
      </w:pPr>
      <w:r>
        <w:rPr>
          <w:sz w:val="24"/>
          <w:szCs w:val="24"/>
          <w:u w:val="single"/>
        </w:rPr>
        <w:t>Vyhodnocení důsledků navrhovaného řešení na ZPF</w:t>
      </w:r>
      <w:r>
        <w:rPr>
          <w:sz w:val="24"/>
          <w:szCs w:val="24"/>
        </w:rPr>
        <w:t xml:space="preserve"> – navrhované umístění stavby je v souladu s platnou územně plánovací dokumentací obce Bernartice,</w:t>
      </w:r>
    </w:p>
    <w:p>
      <w:pPr>
        <w:pStyle w:val="ListParagraph"/>
        <w:numPr>
          <w:ilvl w:val="0"/>
          <w:numId w:val="1"/>
        </w:numPr>
        <w:jc w:val="both"/>
        <w:rPr>
          <w:sz w:val="24"/>
          <w:szCs w:val="24"/>
        </w:rPr>
      </w:pPr>
      <w:r>
        <w:rPr>
          <w:sz w:val="24"/>
          <w:szCs w:val="24"/>
          <w:u w:val="single"/>
        </w:rPr>
        <w:t xml:space="preserve">Výsledky pedologického průzkumu </w:t>
      </w:r>
      <w:r>
        <w:rPr>
          <w:sz w:val="24"/>
          <w:szCs w:val="24"/>
        </w:rPr>
        <w:t>– je zpracován viz příloha</w:t>
      </w:r>
    </w:p>
    <w:p>
      <w:pPr>
        <w:pStyle w:val="ListParagraph"/>
        <w:numPr>
          <w:ilvl w:val="0"/>
          <w:numId w:val="1"/>
        </w:numPr>
        <w:jc w:val="both"/>
        <w:rPr>
          <w:sz w:val="24"/>
          <w:szCs w:val="24"/>
        </w:rPr>
      </w:pPr>
      <w:r>
        <w:rPr>
          <w:sz w:val="24"/>
          <w:szCs w:val="24"/>
          <w:u w:val="single"/>
        </w:rPr>
        <w:t xml:space="preserve">Údaje o odvodnění a závlahách </w:t>
      </w:r>
      <w:r>
        <w:rPr>
          <w:sz w:val="24"/>
          <w:szCs w:val="24"/>
        </w:rPr>
        <w:t>– na pozemku se nenachází žádné závlahy či meliorační sítě, které by měly být stavbou dotčeny. Pokud by se však při realizaci stavby objevily tyto zařízení, budou plně zachovány či stavebně upraveny tak, aby byla zachována jejich funkčnost</w:t>
      </w:r>
    </w:p>
    <w:p>
      <w:pPr>
        <w:pStyle w:val="ListParagraph"/>
        <w:numPr>
          <w:ilvl w:val="0"/>
          <w:numId w:val="1"/>
        </w:numPr>
        <w:jc w:val="both"/>
        <w:rPr>
          <w:sz w:val="24"/>
          <w:szCs w:val="24"/>
        </w:rPr>
      </w:pPr>
      <w:r>
        <w:rPr>
          <w:sz w:val="24"/>
          <w:szCs w:val="24"/>
          <w:u w:val="single"/>
        </w:rPr>
        <w:t xml:space="preserve">Údaje o protierozních opatřeních </w:t>
      </w:r>
      <w:r>
        <w:rPr>
          <w:sz w:val="24"/>
          <w:szCs w:val="24"/>
        </w:rPr>
        <w:t>– Stavba se nenachází v žádném místě, kde by vyvstávaly nutné požadavky na protierozní opatření či jiná podobná opatření.</w:t>
      </w:r>
    </w:p>
    <w:p>
      <w:pPr>
        <w:pStyle w:val="ListParagraph"/>
        <w:numPr>
          <w:ilvl w:val="0"/>
          <w:numId w:val="1"/>
        </w:numPr>
        <w:jc w:val="both"/>
        <w:rPr/>
      </w:pPr>
      <w:r>
        <w:rPr>
          <w:sz w:val="24"/>
          <w:szCs w:val="24"/>
          <w:u w:val="single"/>
        </w:rPr>
        <w:t>Zákres hranic BPEJ s vyznačením tříd ochrany</w:t>
      </w:r>
      <w:r>
        <w:rPr>
          <w:sz w:val="24"/>
          <w:szCs w:val="24"/>
        </w:rPr>
        <w:t xml:space="preserve"> – na pozemku je dle bonitní mapy BPEJ – BPEJ 76701 třída ochrany V.</w:t>
      </w:r>
    </w:p>
    <w:p>
      <w:pPr>
        <w:pStyle w:val="ListParagraph"/>
        <w:rPr/>
      </w:pPr>
      <w:r>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spacing w:before="0" w:after="160"/>
        <w:jc w:val="both"/>
        <w:rPr/>
      </w:pPr>
      <w:r>
        <w:rPr>
          <w:sz w:val="24"/>
          <w:szCs w:val="24"/>
        </w:rPr>
        <w:t>Zpracoval: Martin Kreuzer</w:t>
      </w:r>
      <w:bookmarkStart w:id="0" w:name="_GoBack"/>
      <w:bookmarkEnd w:id="0"/>
      <w:r>
        <w:rPr>
          <w:sz w:val="24"/>
          <w:szCs w:val="24"/>
        </w:rPr>
        <w:tab/>
        <w:tab/>
        <w:tab/>
        <w:tab/>
        <w:tab/>
        <w:tab/>
        <w:tab/>
        <w:tab/>
        <w:t>Dne 3/2023</w:t>
      </w:r>
    </w:p>
    <w:sectPr>
      <w:type w:val="nextPage"/>
      <w:pgSz w:w="11906" w:h="16838"/>
      <w:pgMar w:left="1417" w:right="1417" w:gutter="0" w:header="0" w:top="1417" w:footer="0" w:bottom="1417"/>
      <w:pgNumType w:fmt="decimal"/>
      <w:formProt w:val="false"/>
      <w:textDirection w:val="lrTb"/>
      <w:docGrid w:type="default" w:linePitch="360" w:charSpace="184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Segoe UI">
    <w:charset w:val="ee"/>
    <w:family w:val="roman"/>
    <w:pitch w:val="variable"/>
  </w:font>
  <w:font w:name="Liberation Sans">
    <w:altName w:val="Arial"/>
    <w:charset w:val="ee"/>
    <w:family w:val="roman"/>
    <w:pitch w:val="variable"/>
  </w:font>
  <w:font w:name="Times New Roman">
    <w:charset w:val="ee"/>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cs-CZ"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cs-CZ"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cs-CZ" w:eastAsia="en-US" w:bidi="ar-SA"/>
    </w:rPr>
  </w:style>
  <w:style w:type="character" w:styleId="DefaultParagraphFont" w:default="1">
    <w:name w:val="Default Paragraph Font"/>
    <w:uiPriority w:val="1"/>
    <w:semiHidden/>
    <w:unhideWhenUsed/>
    <w:qFormat/>
    <w:rPr/>
  </w:style>
  <w:style w:type="character" w:styleId="TextbublinyChar" w:customStyle="1">
    <w:name w:val="Text bubliny Char"/>
    <w:basedOn w:val="DefaultParagraphFont"/>
    <w:link w:val="BalloonText"/>
    <w:uiPriority w:val="99"/>
    <w:semiHidden/>
    <w:qFormat/>
    <w:rsid w:val="00c50fca"/>
    <w:rPr>
      <w:rFonts w:ascii="Segoe UI" w:hAnsi="Segoe UI" w:cs="Segoe UI"/>
      <w:sz w:val="18"/>
      <w:szCs w:val="18"/>
    </w:rPr>
  </w:style>
  <w:style w:type="paragraph" w:styleId="Nadpis" w:customStyle="1">
    <w:name w:val="Nadpis"/>
    <w:basedOn w:val="Normal"/>
    <w:next w:val="Tlotextu"/>
    <w:qFormat/>
    <w:pPr>
      <w:keepNext w:val="true"/>
      <w:spacing w:before="240" w:after="120"/>
    </w:pPr>
    <w:rPr>
      <w:rFonts w:ascii="Liberation Sans" w:hAnsi="Liberation Sans" w:eastAsia="Microsoft YaHei" w:cs="Arial"/>
      <w:sz w:val="28"/>
      <w:szCs w:val="28"/>
    </w:rPr>
  </w:style>
  <w:style w:type="paragraph" w:styleId="Tlotextu">
    <w:name w:val="Body Text"/>
    <w:basedOn w:val="Normal"/>
    <w:pPr>
      <w:spacing w:lineRule="auto" w:line="288" w:before="0" w:after="140"/>
    </w:pPr>
    <w:rPr/>
  </w:style>
  <w:style w:type="paragraph" w:styleId="Seznam">
    <w:name w:val="List"/>
    <w:basedOn w:val="Tlotextu"/>
    <w:pPr/>
    <w:rPr>
      <w:rFonts w:cs="Arial"/>
    </w:rPr>
  </w:style>
  <w:style w:type="paragraph" w:styleId="Popisek">
    <w:name w:val="Caption"/>
    <w:basedOn w:val="Normal"/>
    <w:qFormat/>
    <w:pPr>
      <w:suppressLineNumbers/>
      <w:spacing w:before="120" w:after="120"/>
    </w:pPr>
    <w:rPr>
      <w:rFonts w:cs="Lucida Sans"/>
      <w:i/>
      <w:iCs/>
      <w:sz w:val="24"/>
      <w:szCs w:val="24"/>
    </w:rPr>
  </w:style>
  <w:style w:type="paragraph" w:styleId="Rejstk" w:customStyle="1">
    <w:name w:val="Rejstřík"/>
    <w:basedOn w:val="Normal"/>
    <w:qFormat/>
    <w:pPr>
      <w:suppressLineNumbers/>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ListParagraph">
    <w:name w:val="List Paragraph"/>
    <w:basedOn w:val="Normal"/>
    <w:uiPriority w:val="34"/>
    <w:qFormat/>
    <w:rsid w:val="00f61ab9"/>
    <w:pPr>
      <w:spacing w:before="0" w:after="160"/>
      <w:ind w:left="720" w:hanging="0"/>
      <w:contextualSpacing/>
    </w:pPr>
    <w:rPr/>
  </w:style>
  <w:style w:type="paragraph" w:styleId="BalloonText">
    <w:name w:val="Balloon Text"/>
    <w:basedOn w:val="Normal"/>
    <w:link w:val="TextbublinyChar"/>
    <w:uiPriority w:val="99"/>
    <w:semiHidden/>
    <w:unhideWhenUsed/>
    <w:qFormat/>
    <w:rsid w:val="00c50fca"/>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table" w:default="1" w:styleId="Normlntabulka">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B2305-F4A9-4977-8B5B-126ED74E9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LibreOffice/7.3.3.2$Windows_X86_64 LibreOffice_project/d1d0ea68f081ee2800a922cac8f79445e4603348</Application>
  <AppVersion>15.0000</AppVersion>
  <DocSecurity>0</DocSecurity>
  <Pages>2</Pages>
  <Words>407</Words>
  <Characters>2337</Characters>
  <CharactersWithSpaces>2745</CharactersWithSpaces>
  <Paragraphs>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2023-03-29T08:20:00Z</dcterms:created>
  <dc:creator>user</dc:creator>
  <dc:description/>
  <dc:language>cs-CZ</dc:language>
  <cp:lastModifiedBy/>
  <cp:lastPrinted>2023-03-29T08:20:00Z</cp:lastPrinted>
  <dcterms:modified xsi:type="dcterms:W3CDTF">2023-05-12T06:52:06Z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